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 w:line="276" w:lineRule="auto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Regenerative Ventures Advisory FZCO</w:t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Paris · Abu Dhabi</w:t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rachid@regenerativeventures.design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Le 7 juin 2026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À l’attention de</w:t>
      </w:r>
    </w:p>
    <w:p>
      <w:pPr>
        <w:spacing w:after="160" w:before="0" w:line="276" w:lineRule="auto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Monsieur Amédé Koffi KOUAKOU</w:t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Ministre de l’Hydraulique, de l’Assainissement et de la Salubrité</w:t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République de Côte d’Ivoire</w:t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Abidjan</w:t>
      </w:r>
    </w:p>
    <w:p>
      <w:pPr>
        <w:spacing w:after="80" w:before="0"/>
      </w:pPr>
      <w:r>
        <w:t xml:space="preserve"/>
      </w:r>
    </w:p>
    <w:p>
      <w:pPr>
        <w:spacing w:after="100" w:before="0"/>
      </w:pPr>
      <w:r>
        <w:rPr>
          <w:rFonts w:ascii="Playfair Display" w:cs="Playfair Display" w:eastAsia="Playfair Display" w:hAnsi="Playfair Display"/>
          <w:b/>
          <w:bCs/>
          <w:color w:val="2A6A75"/>
          <w:sz w:val="22"/>
          <w:szCs w:val="22"/>
        </w:rPr>
        <w:t xml:space="preserve">Objet : Demande de mandat exclusif — conception et établissement d’une agence souveraine d’infrastructure climatique / Iroko Climat</w:t>
      </w:r>
    </w:p>
    <w:p>
      <w:pPr>
        <w:spacing w:after="160" w:before="0" w:line="276" w:lineRule="auto"/>
      </w:pPr>
      <w:r>
        <w:rPr>
          <w:rFonts w:ascii="Inter" w:cs="Inter" w:eastAsia="Inter" w:hAnsi="Inter"/>
          <w:i/>
          <w:iCs/>
          <w:color w:val="6B7280"/>
          <w:sz w:val="22"/>
          <w:szCs w:val="22"/>
        </w:rPr>
        <w:t xml:space="preserve">Référence : V-015 — Iroko Climat</w:t>
      </w:r>
    </w:p>
    <w:p>
      <w:pPr>
        <w:pBdr>
          <w:bottom w:val="single" w:color="9CA3AF" w:sz="4" w:space="2"/>
        </w:pBdr>
        <w:spacing w:after="200" w:before="80"/>
      </w:pP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Monsieur le Ministre,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La Côte d’Ivoire dispose aujourd’hui de trois engagements climatiques de premier rang — le Pacte National pour l’Eau, la CDN 3.0 et le siège du Hub Régional du Fonds Vert pour le Climat à Abidjan — que les mêmes contraintes institutionnelles empêchent encore d’opérationnaliser : absence d’un mandat d’origination de projets à l’échelle du portefeuille sectoriel, insuffisance des capacités de mesure et de vérification, GIRE incomplètement déployée. La Quatrième Communication Nationale les a nommées explicitement. Nous proposons à la République l’instrument qui y répond.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Cet instrument — nom de travail ADFIC, Agence pour le Développement, le Financement et l’Infrastructure Climatique — est un </w:t>
      </w: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substrat opérationnel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 : il renforce les acteurs qui existent déjà, sans s’y substituer. Il fournit la couche d’origination, de cartographie, d’audit et de structuration qui fait défaut à l’ONEP, aux agences de bassin, au Bureau du Marché Carbone et à la direction point focal GCF — il les sert ; il ne les remplace pas.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L’architecture de gouvernance que nous proposons comporte trois niveaux. Au sommet, un </w:t>
      </w: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Comité de Pilotage présidé par le Premier Ministre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, instance de souveraineté stratégique de l’Agence. À l’ancre opérationnelle, </w:t>
      </w: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votre Ministère, désigné chef de file unique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, conformément à la désignation du Pacte Eau — interlocuteur institutionnel permanent de l’Agence et titulaire de sa tutelle sectorielle. En coordination programmatique, un </w:t>
      </w: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Conseil inter-ministériel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 réunissant MINHAS (lead), MINEDDTE, Eaux et Forêts et l’ONEP. Cette architecture résout la paralysie qu’aurait créée un modèle de co-tutelles coégales : le Premier Ministre arbitre en dernier recours sans que l’Agence accumule de pouvoir d’arbitrage ; vous assurez la continuité opérationnelle. L’Agence reste substrat.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Sur le plan budgétaire, deux points méritent d’être posés sans ambiguïté. D’abord, l’établissement de l’Agence ne crée pour l’État ni dette, ni garantie, ni charge éventuelle : l’Agence est conçue pour mobiliser des ressources, non pour en consommer. Ensuite, l’enveloppe d’amorçage est modeste au regard des capitaux qu’elle permet de débloquer — sans commune mesure avec la valeur des investissements qu’elle rend accessibles. Elle est mobilisable par plusieurs canaux : Banque mondiale, Fonds Vert, partenaires bilatéraux, enveloppes gouvernementales existantes. La voie la plus rapide reste à la main de l’État, qui peut engager la phase initiale sur ses propres ressources pendant que nous travaillons à en couvrir le coût par l’assistance technique mobilisée. </w:t>
      </w: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Aucune ressource publique supplémentaire ne sera jamais requise au titre du fonctionnement de l’Agence elle-même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 : son rôle est de démontrer, contre les budgets engagés, le levier qu’elle génère.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Notre sérieux est documenté avant même ce courrier. À nos frais, à titre de contribution fondatrice, nous avons produit l’architecture complète — doctrine institutionnelle, méthodologie, corpus de recherche de plus de cent trente sources tracées — et préparé deux dossiers de financement complets, l’un pour la Banque mondiale, l’autre pour le Fonds Vert. La décision qui vous revient n’est pas d’engager un projet incertain : c’est de prendre la tête d’un dispositif déjà construit, documenté, et prêt à servir la République.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Nous vous invitons à nous accorder un créneau de présentation à votre cabinet</w:t>
      </w:r>
      <w:r>
        <w:rPr>
          <w:rFonts w:ascii="Inter" w:cs="Inter" w:eastAsia="Inter" w:hAnsi="Inter"/>
          <w:color w:val="1A1A1A"/>
          <w:sz w:val="22"/>
          <w:szCs w:val="22"/>
        </w:rPr>
        <w:t xml:space="preserve">, à la date de votre choix dans les semaines à venir, afin de vous soumettre la vision dans sa forme complète et d’engager avec vos services la session technique de validation des paramètres. C’est à cet horizon que nous souhaitons, ensemble, ouvrir la phase 0.</w:t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Je vous prie d’agréer, Monsieur le Ministre, l’expression de ma très haute considération.</w:t>
      </w:r>
    </w:p>
    <w:p>
      <w:pPr>
        <w:spacing w:after="8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spacing w:after="160" w:before="0" w:line="276" w:lineRule="auto"/>
      </w:pPr>
      <w:r>
        <w:rPr>
          <w:rFonts w:ascii="Inter" w:cs="Inter" w:eastAsia="Inter" w:hAnsi="Inter"/>
          <w:b/>
          <w:bCs/>
          <w:color w:val="1A1A1A"/>
          <w:sz w:val="22"/>
          <w:szCs w:val="22"/>
        </w:rPr>
        <w:t xml:space="preserve">Mohamed Rachid NDIAYE</w:t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Fondateur &amp; Directeur Général</w:t>
      </w:r>
    </w:p>
    <w:p>
      <w:pPr>
        <w:spacing w:after="160" w:before="0" w:line="276" w:lineRule="auto"/>
      </w:pPr>
      <w:r>
        <w:rPr>
          <w:rFonts w:ascii="Inter" w:cs="Inter" w:eastAsia="Inter" w:hAnsi="Inter"/>
          <w:color w:val="1A1A1A"/>
          <w:sz w:val="22"/>
          <w:szCs w:val="22"/>
        </w:rPr>
        <w:t xml:space="preserve">Regenerative Ventures Advisory FZCO</w:t>
      </w:r>
    </w:p>
    <w:p>
      <w:pPr>
        <w:spacing w:after="80" w:before="0"/>
      </w:pPr>
      <w:r>
        <w:t xml:space="preserve"/>
      </w:r>
    </w:p>
    <w:p>
      <w:pPr>
        <w:pBdr>
          <w:top w:val="single" w:color="9CA3AF" w:sz="4" w:space="2"/>
        </w:pBdr>
        <w:spacing w:after="160" w:before="160"/>
      </w:pPr>
    </w:p>
    <w:p>
      <w:pPr>
        <w:spacing w:after="80" w:before="0"/>
      </w:pPr>
      <w:r>
        <w:rPr>
          <w:rFonts w:ascii="Inter" w:cs="Inter" w:eastAsia="Inter" w:hAnsi="Inter"/>
          <w:b/>
          <w:bCs/>
          <w:color w:val="6B7280"/>
          <w:sz w:val="20"/>
          <w:szCs w:val="20"/>
        </w:rPr>
        <w:t xml:space="preserve">Ampliations :</w:t>
      </w:r>
    </w:p>
    <w:p>
      <w:pPr>
        <w:spacing w:after="60" w:before="0"/>
        <w:ind w:left="360"/>
      </w:pPr>
      <w:r>
        <w:rPr>
          <w:rFonts w:ascii="Inter" w:cs="Inter" w:eastAsia="Inter" w:hAnsi="Inter"/>
          <w:color w:val="1A1A1A"/>
          <w:sz w:val="20"/>
          <w:szCs w:val="20"/>
        </w:rPr>
        <w:t xml:space="preserve">Monsieur Abou BAMBA, Ministre de l’Environnement, du Développement Durable et de la Transition Écologique — membre du Conseil inter-ministériel</w:t>
      </w:r>
    </w:p>
    <w:p>
      <w:pPr>
        <w:spacing w:after="60" w:before="0"/>
        <w:ind w:left="360"/>
      </w:pPr>
      <w:r>
        <w:rPr>
          <w:rFonts w:ascii="Inter" w:cs="Inter" w:eastAsia="Inter" w:hAnsi="Inter"/>
          <w:color w:val="1A1A1A"/>
          <w:sz w:val="20"/>
          <w:szCs w:val="20"/>
        </w:rPr>
        <w:t xml:space="preserve">Monsieur Jacques ASSAHORÉ KONAN, Ministre des Eaux et Forêts — membre du Conseil inter-ministériel</w:t>
      </w:r>
    </w:p>
    <w:p>
      <w:pPr>
        <w:spacing w:after="120" w:before="0"/>
        <w:ind w:left="360"/>
      </w:pPr>
      <w:r>
        <w:rPr>
          <w:rFonts w:ascii="Inter" w:cs="Inter" w:eastAsia="Inter" w:hAnsi="Inter"/>
          <w:color w:val="1A1A1A"/>
          <w:sz w:val="20"/>
          <w:szCs w:val="20"/>
        </w:rPr>
        <w:t xml:space="preserve">Office National de l’Eau Potable (ONEP) — pour information, membre du Conseil inter-ministériel et opérateur stratégique eau PASEA Composante 4</w:t>
      </w:r>
    </w:p>
    <w:p>
      <w:pPr>
        <w:spacing w:after="0" w:before="0"/>
      </w:pPr>
      <w:r>
        <w:rPr>
          <w:rFonts w:ascii="Inter" w:cs="Inter" w:eastAsia="Inter" w:hAnsi="Inter"/>
          <w:i/>
          <w:iCs/>
          <w:color w:val="6B7280"/>
          <w:sz w:val="20"/>
          <w:szCs w:val="20"/>
        </w:rPr>
        <w:t xml:space="preserve">Pièce jointe (à l’attention exclusive du destinataire) : Proposition d’honoraires — confidentielle et bilatérale.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56A" w:sz="2" w:space="4"/>
      </w:pBdr>
      <w:jc w:val="center"/>
    </w:pPr>
    <w:r>
      <w:rPr>
        <w:rFonts w:ascii="Inter" w:cs="Inter" w:eastAsia="Inter" w:hAnsi="Inter"/>
        <w:color w:val="6B7280"/>
        <w:sz w:val="16"/>
        <w:szCs w:val="16"/>
      </w:rPr>
      <w:t xml:space="preserve">RV Design —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56A" w:sz="4" w:space="4"/>
      </w:pBdr>
      <w:spacing w:after="200"/>
    </w:pPr>
    <w:r>
      <w:rPr>
        <w:rFonts w:ascii="Georgia" w:cs="Georgia" w:eastAsia="Georgia" w:hAnsi="Georgia"/>
        <w:b/>
        <w:bCs/>
        <w:color w:val="2A6A75"/>
        <w:sz w:val="22"/>
        <w:szCs w:val="22"/>
      </w:rPr>
      <w:t xml:space="preserve">RV Design</w:t>
    </w:r>
    <w:r>
      <w:rPr>
        <w:rFonts w:ascii="Inter" w:cs="Inter" w:eastAsia="Inter" w:hAnsi="Inter"/>
        <w:color w:val="9CA3AF"/>
        <w:sz w:val="22"/>
        <w:szCs w:val="22"/>
      </w:rPr>
      <w:t xml:space="preserve">  |  </w:t>
    </w:r>
    <w:r>
      <w:rPr>
        <w:rFonts w:ascii="Inter" w:cs="Inter" w:eastAsia="Inter" w:hAnsi="Inter"/>
        <w:color w:val="6B7280"/>
        <w:sz w:val="20"/>
        <w:szCs w:val="20"/>
      </w:rPr>
      <w:t xml:space="preserve">Lettre — Mandat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2026-06-07T06:37:19.318Z</dcterms:created>
  <dcterms:modified xsi:type="dcterms:W3CDTF">2026-06-07T06:37:19.318Z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