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before="0" w:line="240" w:lineRule="auto"/>
        <w:jc w:val="left"/>
      </w:pPr>
      <w:r>
        <w:rPr>
          <w:rFonts w:ascii="Arial" w:hAnsi="Arial"/>
          <w:b w:val="0"/>
          <w:i w:val="0"/>
          <w:color w:val="6B7280"/>
          <w:sz w:val="20"/>
        </w:rPr>
        <w:t>Regenerative Ventures Advisory FZCO</w:t>
      </w:r>
    </w:p>
    <w:p>
      <w:pPr>
        <w:spacing w:after="0" w:before="0" w:line="240" w:lineRule="auto"/>
        <w:jc w:val="left"/>
      </w:pPr>
      <w:r>
        <w:rPr>
          <w:rFonts w:ascii="Arial" w:hAnsi="Arial"/>
          <w:b w:val="0"/>
          <w:i w:val="0"/>
          <w:color w:val="6B7280"/>
          <w:sz w:val="20"/>
        </w:rPr>
        <w:t>Paris · Abu Dhabi</w:t>
      </w:r>
    </w:p>
    <w:p>
      <w:pPr>
        <w:spacing w:after="0" w:before="0" w:line="240" w:lineRule="auto"/>
        <w:jc w:val="left"/>
      </w:pPr>
      <w:r>
        <w:rPr>
          <w:rFonts w:ascii="Arial" w:hAnsi="Arial"/>
          <w:b w:val="0"/>
          <w:i w:val="0"/>
          <w:color w:val="6B7280"/>
          <w:sz w:val="20"/>
        </w:rPr>
        <w:t>rachid@regenerativeventures.design</w:t>
      </w:r>
    </w:p>
    <w:p>
      <w:pPr>
        <w:spacing w:after="80" w:before="0" w:line="276" w:lineRule="auto"/>
        <w:jc w:val="left"/>
      </w:pPr>
    </w:p>
    <w:p>
      <w:pPr>
        <w:spacing w:after="240" w:before="0" w:line="276" w:lineRule="auto"/>
        <w:jc w:val="left"/>
      </w:pPr>
      <w:r>
        <w:rPr>
          <w:rFonts w:ascii="Arial" w:hAnsi="Arial"/>
          <w:b w:val="0"/>
          <w:i w:val="0"/>
          <w:color w:val="1A1A1A"/>
          <w:sz w:val="20"/>
        </w:rPr>
        <w:t>Le 7 juin 2026</w:t>
      </w:r>
    </w:p>
    <w:p>
      <w:pPr>
        <w:spacing w:after="0" w:before="0" w:line="240" w:lineRule="auto"/>
        <w:jc w:val="left"/>
      </w:pPr>
      <w:r>
        <w:rPr>
          <w:rFonts w:ascii="Arial" w:hAnsi="Arial"/>
          <w:b w:val="0"/>
          <w:i w:val="0"/>
          <w:color w:val="1A1A1A"/>
          <w:sz w:val="22"/>
        </w:rPr>
        <w:t>À l’attention de</w:t>
      </w:r>
    </w:p>
    <w:p>
      <w:pPr>
        <w:spacing w:after="0" w:before="0" w:line="240" w:lineRule="auto"/>
        <w:jc w:val="left"/>
      </w:pPr>
      <w:r>
        <w:rPr>
          <w:rFonts w:ascii="Arial" w:hAnsi="Arial"/>
          <w:b/>
          <w:i w:val="0"/>
          <w:color w:val="1A1A1A"/>
          <w:sz w:val="22"/>
        </w:rPr>
        <w:t>Son Excellence Monsieur Robert Beugré MAMBÉ</w:t>
      </w:r>
    </w:p>
    <w:p>
      <w:pPr>
        <w:spacing w:after="0" w:before="0" w:line="240" w:lineRule="auto"/>
        <w:jc w:val="left"/>
      </w:pPr>
      <w:r>
        <w:rPr>
          <w:rFonts w:ascii="Arial" w:hAnsi="Arial"/>
          <w:b w:val="0"/>
          <w:i w:val="0"/>
          <w:color w:val="1A1A1A"/>
          <w:sz w:val="22"/>
        </w:rPr>
        <w:t>Premier Ministre, Chef du Gouvernement</w:t>
      </w:r>
    </w:p>
    <w:p>
      <w:pPr>
        <w:spacing w:after="0" w:before="0" w:line="240" w:lineRule="auto"/>
        <w:jc w:val="left"/>
      </w:pPr>
      <w:r>
        <w:rPr>
          <w:rFonts w:ascii="Arial" w:hAnsi="Arial"/>
          <w:b w:val="0"/>
          <w:i w:val="0"/>
          <w:color w:val="1A1A1A"/>
          <w:sz w:val="22"/>
        </w:rPr>
        <w:t>République de Côte d’Ivoire</w:t>
      </w:r>
    </w:p>
    <w:p>
      <w:pPr>
        <w:spacing w:after="0" w:before="0" w:line="240" w:lineRule="auto"/>
        <w:jc w:val="left"/>
      </w:pPr>
      <w:r>
        <w:rPr>
          <w:rFonts w:ascii="Arial" w:hAnsi="Arial"/>
          <w:b w:val="0"/>
          <w:i w:val="0"/>
          <w:color w:val="1A1A1A"/>
          <w:sz w:val="22"/>
        </w:rPr>
        <w:t>Abidjan</w:t>
      </w:r>
    </w:p>
    <w:p>
      <w:pPr>
        <w:spacing w:after="160" w:before="0" w:line="276" w:lineRule="auto"/>
        <w:jc w:val="left"/>
      </w:pPr>
    </w:p>
    <w:p>
      <w:pPr>
        <w:spacing w:after="80" w:line="276" w:lineRule="auto"/>
        <w:jc w:val="left"/>
      </w:pPr>
      <w:r>
        <w:rPr>
          <w:rFonts w:ascii="Arial" w:hAnsi="Arial"/>
          <w:b/>
          <w:i w:val="0"/>
          <w:color w:val="1A1A1A"/>
          <w:sz w:val="22"/>
        </w:rPr>
        <w:t xml:space="preserve">Objet : </w:t>
      </w:r>
      <w:r>
        <w:rPr>
          <w:rFonts w:ascii="Arial" w:hAnsi="Arial"/>
          <w:b/>
          <w:i w:val="0"/>
          <w:color w:val="1A1A1A"/>
          <w:sz w:val="22"/>
        </w:rPr>
        <w:t>Demande de patronage et de créneau de présentation — agence souveraine d’infrastructure climatique / Iroko Climat</w:t>
      </w:r>
    </w:p>
    <w:p>
      <w:pPr>
        <w:spacing w:after="240" w:line="276" w:lineRule="auto"/>
        <w:jc w:val="left"/>
      </w:pPr>
      <w:r>
        <w:rPr>
          <w:rFonts w:ascii="Arial" w:hAnsi="Arial"/>
          <w:b/>
          <w:i w:val="0"/>
          <w:color w:val="1A1A1A"/>
          <w:sz w:val="22"/>
        </w:rPr>
        <w:t xml:space="preserve">Référence : </w:t>
      </w:r>
      <w:r>
        <w:rPr>
          <w:rFonts w:ascii="Arial" w:hAnsi="Arial"/>
          <w:b w:val="0"/>
          <w:i w:val="0"/>
          <w:color w:val="1A1A1A"/>
          <w:sz w:val="22"/>
        </w:rPr>
        <w:t>V-015 — Iroko Climat</w:t>
      </w:r>
    </w:p>
    <w:p>
      <w:pPr>
        <w:spacing w:after="200" w:before="0" w:line="276" w:lineRule="auto"/>
        <w:jc w:val="left"/>
      </w:pPr>
      <w:r>
        <w:rPr>
          <w:rFonts w:ascii="Arial" w:hAnsi="Arial"/>
          <w:b w:val="0"/>
          <w:i w:val="0"/>
          <w:color w:val="1A1A1A"/>
          <w:sz w:val="22"/>
        </w:rPr>
        <w:t>Monsieur le Premier Ministre,</w:t>
      </w:r>
    </w:p>
    <w:p>
      <w:pPr>
        <w:spacing w:after="160" w:before="0" w:line="276" w:lineRule="auto"/>
        <w:jc w:val="both"/>
      </w:pPr>
      <w:r>
        <w:rPr>
          <w:rFonts w:ascii="Arial" w:hAnsi="Arial"/>
          <w:b w:val="0"/>
          <w:i w:val="0"/>
          <w:color w:val="1A1A1A"/>
          <w:sz w:val="22"/>
        </w:rPr>
        <w:t>La Côte d’Ivoire est aujourd’hui l’un des rares pays d’Afrique subsaharienne à disposer simultanément d’un Pacte national de l’eau opérationnel, d’une CDN 3.0 chiffrée et contraignante, et du siège du Hub Régional du Fonds Vert pour le Climat. Ce sont trois atouts souverains de premier rang. Ce qui manque encore est l’institution qui les rend bancables — un substrat d’origination, de mesure et de structuration à l’échelle du portefeuille sectoriel.</w:t>
      </w:r>
    </w:p>
    <w:p>
      <w:pPr>
        <w:spacing w:after="160" w:before="0" w:line="276" w:lineRule="auto"/>
        <w:jc w:val="both"/>
      </w:pPr>
      <w:r>
        <w:rPr>
          <w:rFonts w:ascii="Arial" w:hAnsi="Arial"/>
          <w:b w:val="0"/>
          <w:i w:val="0"/>
          <w:color w:val="1A1A1A"/>
          <w:sz w:val="22"/>
        </w:rPr>
        <w:t>Nous proposons la création de cette institution : une agence souveraine ivoirienne — nom de travail ADFIC, Agence pour le Développement, le Financement et l’Infrastructure Climatique — dotée d’un mandat légal d’établissement public à caractère industriel et commercial. Elle ne remplace aucun acteur existant. Elle fournit à l’ONEP, aux agences de bassin, au Bureau du Marché Carbone et à la direction point focal GCF la couche d’expertise et de structuration qui leur fait défaut. Elle est un substrat, non une tutelle.</w:t>
      </w:r>
    </w:p>
    <w:p>
      <w:pPr>
        <w:spacing w:after="160" w:line="276" w:lineRule="auto"/>
        <w:jc w:val="both"/>
      </w:pPr>
      <w:r>
        <w:rPr>
          <w:rFonts w:ascii="Arial" w:hAnsi="Arial"/>
          <w:b/>
          <w:i w:val="0"/>
          <w:color w:val="1A1A1A"/>
          <w:sz w:val="22"/>
        </w:rPr>
        <w:t>Cette initiative appartient au niveau du Premier Ministre</w:t>
      </w:r>
      <w:r>
        <w:rPr>
          <w:rFonts w:ascii="Arial" w:hAnsi="Arial"/>
          <w:b w:val="0"/>
          <w:i w:val="0"/>
          <w:color w:val="1A1A1A"/>
          <w:sz w:val="22"/>
        </w:rPr>
        <w:t xml:space="preserve"> pour une raison précise de gouvernance. L’Agence mobilise, par conception, plusieurs ministères sectoriels — Hydraulique, Environnement, Eaux et Forêts, ONEP. Une architecture de co-tutelles coégales crée une paralysie institutionnelle ; seul un sommet à légitimité transversale peut l’éviter. Nous proposons donc une architecture à trois niveaux : un </w:t>
      </w:r>
      <w:r>
        <w:rPr>
          <w:rFonts w:ascii="Arial" w:hAnsi="Arial"/>
          <w:b/>
          <w:i w:val="0"/>
          <w:color w:val="1A1A1A"/>
          <w:sz w:val="22"/>
        </w:rPr>
        <w:t>Comité de Pilotage présidé par Votre Excellence</w:t>
      </w:r>
      <w:r>
        <w:rPr>
          <w:rFonts w:ascii="Arial" w:hAnsi="Arial"/>
          <w:b w:val="0"/>
          <w:i w:val="0"/>
          <w:color w:val="1A1A1A"/>
          <w:sz w:val="22"/>
        </w:rPr>
        <w:t xml:space="preserve"> comme instance de souveraineté stratégique de l’Agence ; </w:t>
      </w:r>
      <w:r>
        <w:rPr>
          <w:rFonts w:ascii="Arial" w:hAnsi="Arial"/>
          <w:b/>
          <w:i w:val="0"/>
          <w:color w:val="1A1A1A"/>
          <w:sz w:val="22"/>
        </w:rPr>
        <w:t>le Ministère de l’Hydraulique, de l’Assainissement et de la Salubrité (MINHAS) désigné chef de file unique</w:t>
      </w:r>
      <w:r>
        <w:rPr>
          <w:rFonts w:ascii="Arial" w:hAnsi="Arial"/>
          <w:b w:val="0"/>
          <w:i w:val="0"/>
          <w:color w:val="1A1A1A"/>
          <w:sz w:val="22"/>
        </w:rPr>
        <w:t xml:space="preserve">, ancre opérationnelle permanente ; un </w:t>
      </w:r>
      <w:r>
        <w:rPr>
          <w:rFonts w:ascii="Arial" w:hAnsi="Arial"/>
          <w:b/>
          <w:i w:val="0"/>
          <w:color w:val="1A1A1A"/>
          <w:sz w:val="22"/>
        </w:rPr>
        <w:t>Conseil inter-ministériel</w:t>
      </w:r>
      <w:r>
        <w:rPr>
          <w:rFonts w:ascii="Arial" w:hAnsi="Arial"/>
          <w:b w:val="0"/>
          <w:i w:val="0"/>
          <w:color w:val="1A1A1A"/>
          <w:sz w:val="22"/>
        </w:rPr>
        <w:t xml:space="preserve"> réunissant MINHAS (lead), MINEDDTE, Eaux et Forêts et l’ONEP, instance de coordination programmatique. Ce modèle préserve la continuité sectorielle assurée par MINHAS tout en dotant l’Agence d’un arbitre neutre de dernier recours : Votre Excellence ne gère pas l’Agence au quotidien — Vous garantissez qu’elle ne se paralyse pas.</w:t>
      </w:r>
    </w:p>
    <w:p>
      <w:pPr>
        <w:spacing w:after="160" w:line="276" w:lineRule="auto"/>
        <w:jc w:val="both"/>
      </w:pPr>
      <w:r>
        <w:rPr>
          <w:rFonts w:ascii="Arial" w:hAnsi="Arial"/>
          <w:b w:val="0"/>
          <w:i w:val="0"/>
          <w:color w:val="1A1A1A"/>
          <w:sz w:val="22"/>
        </w:rPr>
        <w:t xml:space="preserve">Sur le plan des ressources, la clarté s’impose sur deux points. L’amorçage est modeste au regard de ce qu’il met en mouvement : l’enveloppe d’établissement est sans commune mesure avec les capitaux qu’elle permet de débloquer, les investissements qu’elle rend accessibles, et le levier qu’elle démontre contre les engagements souverains déjà contractés. Et </w:t>
      </w:r>
      <w:r>
        <w:rPr>
          <w:rFonts w:ascii="Arial" w:hAnsi="Arial"/>
          <w:b/>
          <w:i w:val="0"/>
          <w:color w:val="1A1A1A"/>
          <w:sz w:val="22"/>
        </w:rPr>
        <w:t>aucune ressource publique supplémentaire ne sera jamais requise au titre du fonctionnement de l’Agence elle-même</w:t>
      </w:r>
      <w:r>
        <w:rPr>
          <w:rFonts w:ascii="Arial" w:hAnsi="Arial"/>
          <w:b w:val="0"/>
          <w:i w:val="0"/>
          <w:color w:val="1A1A1A"/>
          <w:sz w:val="22"/>
        </w:rPr>
        <w:t xml:space="preserve"> : son rôle est de mobiliser des ressources extérieures et de démontrer ce levier, non d’en consommer. L’enveloppe d’amorçage est mobilisable par plusieurs canaux — Banque mondiale, Fonds Vert, partenaires bilatéraux, enveloppes gouvernementales existantes. La voie la plus rapide reste à la main de l’État : il peut engager la phase initiale sur ses propres ressources pendant que nous couvrons le coût par l’assistance technique mobilisée.</w:t>
      </w:r>
    </w:p>
    <w:p>
      <w:pPr>
        <w:spacing w:after="160" w:before="0" w:line="276" w:lineRule="auto"/>
        <w:jc w:val="both"/>
      </w:pPr>
      <w:r>
        <w:rPr>
          <w:rFonts w:ascii="Arial" w:hAnsi="Arial"/>
          <w:b w:val="0"/>
          <w:i w:val="0"/>
          <w:color w:val="1A1A1A"/>
          <w:sz w:val="22"/>
        </w:rPr>
        <w:t>Regenerative Ventures a porté, à ses propres frais et à titre de contribution fondatrice, l’architecture complète de ce dispositif : doctrine institutionnelle, méthodologie, corpus de recherche de plus de cent trente sources tracées, et deux dossiers de financement complets — l’un pour la Banque mondiale, l’autre pour le Fonds Vert. Ce que nous soumettons à Votre Excellence n’est pas un projet à étudier : c’est un dispositif prêt à être lancé, sous patronage souverain.</w:t>
      </w:r>
    </w:p>
    <w:p>
      <w:pPr>
        <w:spacing w:after="160" w:line="276" w:lineRule="auto"/>
        <w:jc w:val="both"/>
      </w:pPr>
      <w:r>
        <w:rPr>
          <w:rFonts w:ascii="Arial" w:hAnsi="Arial"/>
          <w:b/>
          <w:i w:val="0"/>
          <w:color w:val="1A1A1A"/>
          <w:sz w:val="22"/>
        </w:rPr>
        <w:t>Nous sollicitons le patronage de Votre Excellence sur cette initiative et un créneau de présentation au niveau de la Primature</w:t>
      </w:r>
      <w:r>
        <w:rPr>
          <w:rFonts w:ascii="Arial" w:hAnsi="Arial"/>
          <w:b w:val="0"/>
          <w:i w:val="0"/>
          <w:color w:val="1A1A1A"/>
          <w:sz w:val="22"/>
        </w:rPr>
        <w:t>, pour exposer la vision dans sa forme complète et engager les prochaines étapes. Cette présentation impliquera MINHAS en qualité de chef de file ; nous proposons qu’elle soit organisée à votre convenance dans les semaines à venir.</w:t>
      </w:r>
    </w:p>
    <w:p>
      <w:pPr>
        <w:spacing w:after="400" w:before="0" w:line="276" w:lineRule="auto"/>
        <w:jc w:val="both"/>
      </w:pPr>
      <w:r>
        <w:rPr>
          <w:rFonts w:ascii="Arial" w:hAnsi="Arial"/>
          <w:b w:val="0"/>
          <w:i w:val="0"/>
          <w:color w:val="1A1A1A"/>
          <w:sz w:val="22"/>
        </w:rPr>
        <w:t>Je vous prie d’agréer, Monsieur le Premier Ministre, l’expression de ma très haute considération.</w:t>
      </w:r>
    </w:p>
    <w:p>
      <w:pPr>
        <w:spacing w:after="0" w:before="0" w:line="240" w:lineRule="auto"/>
        <w:jc w:val="left"/>
      </w:pPr>
      <w:r>
        <w:rPr>
          <w:rFonts w:ascii="Arial" w:hAnsi="Arial"/>
          <w:b/>
          <w:i w:val="0"/>
          <w:color w:val="1A1A1A"/>
          <w:sz w:val="22"/>
        </w:rPr>
        <w:t>Mohamed Rachid NDIAYE</w:t>
      </w:r>
    </w:p>
    <w:p>
      <w:pPr>
        <w:spacing w:after="0" w:before="0" w:line="240" w:lineRule="auto"/>
        <w:jc w:val="left"/>
      </w:pPr>
      <w:r>
        <w:rPr>
          <w:rFonts w:ascii="Arial" w:hAnsi="Arial"/>
          <w:b w:val="0"/>
          <w:i w:val="0"/>
          <w:color w:val="1A1A1A"/>
          <w:sz w:val="20"/>
        </w:rPr>
        <w:t>Fondateur &amp; Directeur Général</w:t>
      </w:r>
    </w:p>
    <w:p>
      <w:pPr>
        <w:spacing w:after="280" w:before="0" w:line="240" w:lineRule="auto"/>
        <w:jc w:val="left"/>
      </w:pPr>
      <w:r>
        <w:rPr>
          <w:rFonts w:ascii="Arial" w:hAnsi="Arial"/>
          <w:b w:val="0"/>
          <w:i w:val="0"/>
          <w:color w:val="1A1A1A"/>
          <w:sz w:val="20"/>
        </w:rPr>
        <w:t>Regenerative Ventures Advisory FZCO</w:t>
      </w:r>
    </w:p>
    <w:p>
      <w:pPr>
        <w:spacing w:after="120" w:before="0" w:line="276" w:lineRule="auto"/>
        <w:jc w:val="left"/>
        <w:pBdr>
          <w:bottom w:val="single" w:sz="4" w:space="4" w:color="D1D5DB"/>
        </w:pBdr>
      </w:pPr>
    </w:p>
    <w:p>
      <w:pPr>
        <w:spacing w:after="40" w:before="0" w:line="240" w:lineRule="auto"/>
        <w:jc w:val="left"/>
      </w:pPr>
      <w:r>
        <w:rPr>
          <w:rFonts w:ascii="Arial" w:hAnsi="Arial"/>
          <w:b/>
          <w:i w:val="0"/>
          <w:color w:val="1A1A1A"/>
          <w:sz w:val="20"/>
        </w:rPr>
        <w:t>Ampliations :</w:t>
      </w:r>
    </w:p>
    <w:p>
      <w:pPr>
        <w:pStyle w:val="ListBullet"/>
        <w:spacing w:after="40" w:line="240" w:lineRule="auto"/>
      </w:pPr>
      <w:r>
        <w:rPr>
          <w:rFonts w:ascii="Arial" w:hAnsi="Arial"/>
          <w:color w:val="6B7280"/>
          <w:sz w:val="19"/>
        </w:rPr>
        <w:t>Monsieur Amédé Koffi KOUAKOU, Ministre de l’Hydraulique, de l’Assainissement et de la Salubrité — chef de file opérationnel de l’Agence</w:t>
      </w:r>
    </w:p>
    <w:p>
      <w:pPr>
        <w:spacing w:after="160" w:before="80" w:line="276" w:lineRule="auto"/>
        <w:jc w:val="left"/>
      </w:pPr>
      <w:r>
        <w:rPr>
          <w:rFonts w:ascii="Arial" w:hAnsi="Arial"/>
          <w:b w:val="0"/>
          <w:i/>
          <w:color w:val="6B7280"/>
          <w:sz w:val="19"/>
        </w:rPr>
        <w:t>Pièce jointe (à l’attention exclusive du destinataire) : Note de concept souveraine — Iroko Climat / ADFIC.</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B7280"/>
        <w:sz w:val="16"/>
      </w:rPr>
      <w:t>RV Design — Confidentiel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Bdr>
        <w:bottom w:val="single" w:sz="8" w:space="4" w:color="B8956A"/>
      </w:pBdr>
    </w:pPr>
    <w:r>
      <w:rPr>
        <w:rFonts w:ascii="Georgia" w:hAnsi="Georgia"/>
        <w:b/>
        <w:color w:val="2A6A75"/>
        <w:sz w:val="22"/>
      </w:rPr>
      <w:t>RV Design</w:t>
    </w:r>
    <w:r>
      <w:rPr>
        <w:rFonts w:ascii="Arial" w:hAnsi="Arial"/>
        <w:color w:val="6B7280"/>
        <w:sz w:val="18"/>
      </w:rPr>
      <w:t xml:space="preserve">   |   Lettre de Demande de Patronage — Primature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